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101BE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2 т, </w:t>
            </w:r>
            <w:r w:rsidR="00440B5F">
              <w:rPr>
                <w:color w:val="C00000"/>
                <w:sz w:val="28"/>
              </w:rPr>
              <w:t>12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440B5F">
              <w:t>4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2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101BEC">
              <w:t>1</w:t>
            </w:r>
            <w:r w:rsidR="00440B5F">
              <w:t>2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bookmarkStart w:id="0" w:name="_GoBack"/>
            <w:bookmarkEnd w:id="0"/>
            <w:r w:rsidR="006B53FC">
              <w:t>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DC1A12">
              <w:t>2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DA0329">
              <w:t>12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DA0329">
              <w:t>165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DA0329">
              <w:t>225</w:t>
            </w:r>
            <w:r>
              <w:t xml:space="preserve"> кг</w:t>
            </w:r>
          </w:p>
          <w:p w:rsidR="00F22CC9" w:rsidRPr="00870AE0" w:rsidRDefault="00163578" w:rsidP="009E2411">
            <w:pPr>
              <w:pStyle w:val="a3"/>
              <w:numPr>
                <w:ilvl w:val="0"/>
                <w:numId w:val="2"/>
              </w:numPr>
            </w:pPr>
            <w:r>
              <w:t xml:space="preserve">Размеры упаковки: </w:t>
            </w:r>
            <w:r w:rsidR="00FA202F">
              <w:t>240</w:t>
            </w:r>
            <w:r>
              <w:t>х</w:t>
            </w:r>
            <w:r w:rsidR="00FA202F">
              <w:t>165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E7661"/>
    <w:rsid w:val="002113D0"/>
    <w:rsid w:val="00231FB6"/>
    <w:rsid w:val="00274B32"/>
    <w:rsid w:val="0028500F"/>
    <w:rsid w:val="002F1C03"/>
    <w:rsid w:val="003043DA"/>
    <w:rsid w:val="00360CC8"/>
    <w:rsid w:val="003953B4"/>
    <w:rsid w:val="003B115C"/>
    <w:rsid w:val="003D19FB"/>
    <w:rsid w:val="00440B5F"/>
    <w:rsid w:val="004777E9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D1A4A"/>
    <w:rsid w:val="00D34B55"/>
    <w:rsid w:val="00DA0329"/>
    <w:rsid w:val="00DC1A12"/>
    <w:rsid w:val="00DF0CB9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24</cp:revision>
  <dcterms:created xsi:type="dcterms:W3CDTF">2020-08-12T12:49:00Z</dcterms:created>
  <dcterms:modified xsi:type="dcterms:W3CDTF">2020-08-13T10:37:00Z</dcterms:modified>
</cp:coreProperties>
</file>